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2025-10-09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7800"/>
        <w:gridCol w:w="2025"/>
        <w:tblGridChange w:id="0">
          <w:tblGrid>
            <w:gridCol w:w="840"/>
            <w:gridCol w:w="7800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0" w:firstLine="0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MSA fee increase</w:t>
              </w:r>
            </w:hyperlink>
            <w:r w:rsidDel="00000000" w:rsidR="00000000" w:rsidRPr="00000000">
              <w:rPr>
                <w:rtl w:val="0"/>
              </w:rPr>
              <w:t xml:space="preserve"> (Director Abu-Alkhair)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3"/>
            <w:bookmarkEnd w:id="3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13.a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the student service fee</w:t>
              </w:r>
            </w:hyperlink>
            <w:r w:rsidDel="00000000" w:rsidR="00000000" w:rsidRPr="00000000">
              <w:rPr>
                <w:rtl w:val="0"/>
              </w:rPr>
              <w:t xml:space="preserve">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3"/>
            <w:bookmarkEnd w:id="3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13.b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0" w:firstLine="0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the first Year fee renewal question</w:t>
              </w:r>
            </w:hyperlink>
            <w:r w:rsidDel="00000000" w:rsidR="00000000" w:rsidRPr="00000000">
              <w:rPr>
                <w:rtl w:val="0"/>
              </w:rPr>
              <w:t xml:space="preserve">(President Taylor) 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24-1-0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3"/>
            <w:bookmarkEnd w:id="3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13.c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 the Renewal of the SSMU Access Bursary Fund fee</w:t>
              </w:r>
            </w:hyperlink>
            <w:r w:rsidDel="00000000" w:rsidR="00000000" w:rsidRPr="00000000">
              <w:rPr>
                <w:rtl w:val="0"/>
              </w:rPr>
              <w:t xml:space="preserve"> 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4"/>
            <w:bookmarkEnd w:id="4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13.d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0" w:firstLine="0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Referendum Question on the Renewal of the Access McGill Ancillary Fee</w:t>
              </w:r>
            </w:hyperlink>
            <w:r w:rsidDel="00000000" w:rsidR="00000000" w:rsidRPr="00000000">
              <w:rPr>
                <w:rtl w:val="0"/>
              </w:rPr>
              <w:t xml:space="preserve"> (President Taylor)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motion to add the question to the fall 2025 referendum phrase the plebiscite question to be: “What event would you like to see on campus” (VP Abu Alkair) 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APPROVED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UNANIMOUSLY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2025 -10 -09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 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02A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2C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2D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KMQLd3ZpGPRxpupIIlwAoPHHupGnMKIr/edit?usp=drive_link&amp;ouid=102189744964378988721&amp;rtpof=true&amp;sd=true" TargetMode="Externa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HQXyTda037YNNy1CVkJ4vyK0dWRA66UVQoN2gqHit-Q/edit?usp=sharing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2LcKnxDE29Vs0B1QiCeuh4P6EO8kToyPZqYL8_sQwP8/edit?usp=sharing" TargetMode="External"/><Relationship Id="rId7" Type="http://schemas.openxmlformats.org/officeDocument/2006/relationships/hyperlink" Target="https://docs.google.com/document/d/1XCR4OBGf7Jqvw-bHjhkXW2yoV8uT44mNtjUHxZ4GUe0/edit?tab=t.0#heading=h.i1ftwn4o16t" TargetMode="External"/><Relationship Id="rId8" Type="http://schemas.openxmlformats.org/officeDocument/2006/relationships/hyperlink" Target="https://docs.google.com/document/d/1X6Q4QQy6t5XFFxTI4TvRcZqpXgmfiJCGL3D3Ysh50Ek/edit?tab=t.0#heading=h.xq4xt2uhbm5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